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C7" w:rsidRDefault="00AD46C7" w:rsidP="00AD46C7">
      <w:pPr>
        <w:jc w:val="center"/>
        <w:rPr>
          <w:b/>
        </w:rPr>
      </w:pPr>
      <w:r w:rsidRPr="00F2774F">
        <w:rPr>
          <w:b/>
        </w:rPr>
        <w:t>T</w:t>
      </w:r>
      <w:r>
        <w:rPr>
          <w:b/>
        </w:rPr>
        <w:t>.</w:t>
      </w:r>
      <w:r w:rsidRPr="00F2774F">
        <w:rPr>
          <w:b/>
        </w:rPr>
        <w:t>C</w:t>
      </w:r>
      <w:r>
        <w:rPr>
          <w:b/>
        </w:rPr>
        <w:t>.</w:t>
      </w:r>
      <w:r w:rsidRPr="00F2774F">
        <w:rPr>
          <w:b/>
        </w:rPr>
        <w:t xml:space="preserve"> </w:t>
      </w:r>
    </w:p>
    <w:p w:rsidR="00AD46C7" w:rsidRDefault="00D36EFD" w:rsidP="00AD46C7">
      <w:pPr>
        <w:jc w:val="center"/>
        <w:rPr>
          <w:b/>
        </w:rPr>
      </w:pPr>
      <w:r>
        <w:rPr>
          <w:b/>
        </w:rPr>
        <w:t xml:space="preserve">TEKİRDAĞ </w:t>
      </w:r>
      <w:r w:rsidR="00AD46C7" w:rsidRPr="00F2774F">
        <w:rPr>
          <w:b/>
        </w:rPr>
        <w:t>NAMIK KEMAL ÜNİVERSİTESİ</w:t>
      </w:r>
    </w:p>
    <w:p w:rsidR="00AD46C7" w:rsidRDefault="00AD46C7" w:rsidP="00AD46C7">
      <w:pPr>
        <w:jc w:val="center"/>
        <w:rPr>
          <w:b/>
        </w:rPr>
      </w:pPr>
      <w:r w:rsidRPr="00F2774F">
        <w:rPr>
          <w:b/>
        </w:rPr>
        <w:t xml:space="preserve"> TEKNİK BİLİ</w:t>
      </w:r>
      <w:r>
        <w:rPr>
          <w:b/>
        </w:rPr>
        <w:t>MLER MESLEK YÜKSEKO</w:t>
      </w:r>
      <w:r w:rsidRPr="00F2774F">
        <w:rPr>
          <w:b/>
        </w:rPr>
        <w:t xml:space="preserve">KULU </w:t>
      </w:r>
      <w:r w:rsidR="00D36EFD">
        <w:rPr>
          <w:b/>
        </w:rPr>
        <w:t xml:space="preserve">GİRİŞ </w:t>
      </w:r>
      <w:r w:rsidR="00256196">
        <w:rPr>
          <w:b/>
        </w:rPr>
        <w:t>SINAV SONUC</w:t>
      </w:r>
      <w:r>
        <w:rPr>
          <w:b/>
        </w:rPr>
        <w:t>U</w:t>
      </w:r>
    </w:p>
    <w:p w:rsidR="00256196" w:rsidRDefault="00256196" w:rsidP="00AD46C7">
      <w:pPr>
        <w:jc w:val="center"/>
        <w:rPr>
          <w:b/>
        </w:rPr>
      </w:pPr>
    </w:p>
    <w:p w:rsidR="00AD46C7" w:rsidRPr="00256196" w:rsidRDefault="00AD46C7" w:rsidP="00AD46C7">
      <w:pPr>
        <w:jc w:val="center"/>
        <w:rPr>
          <w:b/>
          <w:color w:val="7030A0"/>
        </w:rPr>
      </w:pPr>
    </w:p>
    <w:p w:rsidR="00AD46C7" w:rsidRDefault="00AD46C7" w:rsidP="00AD46C7">
      <w:pPr>
        <w:jc w:val="both"/>
      </w:pPr>
      <w:proofErr w:type="gramStart"/>
      <w:r w:rsidRPr="00F2774F">
        <w:t>Meslek Yüksekokulumuzda</w:t>
      </w:r>
      <w:r>
        <w:t xml:space="preserve"> “</w:t>
      </w:r>
      <w:r w:rsidRPr="00B10E90">
        <w:rPr>
          <w:b/>
        </w:rPr>
        <w:t>Tekstil, Giyim Ayakkabı ve Deri Bölümü</w:t>
      </w:r>
      <w:r>
        <w:rPr>
          <w:b/>
        </w:rPr>
        <w:t>,</w:t>
      </w:r>
      <w:r w:rsidRPr="00964FE1">
        <w:rPr>
          <w:b/>
        </w:rPr>
        <w:t xml:space="preserve"> Tekstil Teknolojisi Programı</w:t>
      </w:r>
      <w:r>
        <w:rPr>
          <w:b/>
        </w:rPr>
        <w:t>”</w:t>
      </w:r>
      <w:r>
        <w:t xml:space="preserve"> için </w:t>
      </w:r>
      <w:r w:rsidRPr="00F2774F">
        <w:t>ilan edilen 1 (bir) adet “Öğretim Görevlisi” kadrosuna müracaat eden adayların, “Öğretim Üyesi Dışındaki Öğretim Elemanı Kadrolarına Naklen Veya Açıktan Yapılacak Atamalarda Uygulanacak Merkezi Sınav İle Giriş Sınavlarına İlişkin Usul ve Esaslar Hakkında Y</w:t>
      </w:r>
      <w:r>
        <w:t>önetmelik” in 12’inci</w:t>
      </w:r>
      <w:r w:rsidRPr="00F2774F">
        <w:t xml:space="preserve"> maddesi hükmü gereğince, </w:t>
      </w:r>
      <w:proofErr w:type="gramEnd"/>
    </w:p>
    <w:p w:rsidR="00AD46C7" w:rsidRDefault="00AD46C7" w:rsidP="00AD46C7">
      <w:pPr>
        <w:jc w:val="both"/>
      </w:pPr>
      <w:r>
        <w:t>Meslek yüksekokullarında ALES notunun %35’i</w:t>
      </w:r>
      <w:r w:rsidRPr="001B32CB">
        <w:t>, lisans mezuniyet notunun %30’unu ve g</w:t>
      </w:r>
      <w:r>
        <w:t>i</w:t>
      </w:r>
      <w:r w:rsidRPr="001B32CB">
        <w:t>r</w:t>
      </w:r>
      <w:r>
        <w:t xml:space="preserve">iş sınavı notunun %35’i </w:t>
      </w:r>
      <w:r w:rsidRPr="001B32CB">
        <w:t xml:space="preserve">hesaplayarak </w:t>
      </w:r>
      <w:r>
        <w:t>i</w:t>
      </w:r>
      <w:r w:rsidRPr="001B32CB">
        <w:t>lan ed</w:t>
      </w:r>
      <w:r>
        <w:t>i</w:t>
      </w:r>
      <w:r w:rsidRPr="001B32CB">
        <w:t>len</w:t>
      </w:r>
      <w:r>
        <w:t xml:space="preserve"> </w:t>
      </w:r>
      <w:r w:rsidRPr="001B32CB">
        <w:t>kadro sayısı kadar adayı başarı sırasına göre bel</w:t>
      </w:r>
      <w:r>
        <w:t>i</w:t>
      </w:r>
      <w:r w:rsidRPr="001B32CB">
        <w:t>rler. Değerlendirme puanı 65 puanın altında olanlar sınavlarda</w:t>
      </w:r>
      <w:r>
        <w:t xml:space="preserve"> </w:t>
      </w:r>
      <w:r w:rsidRPr="001B32CB">
        <w:t xml:space="preserve">başarısız sayılır. </w:t>
      </w:r>
    </w:p>
    <w:p w:rsidR="00AD46C7" w:rsidRPr="00F2774F" w:rsidRDefault="00AD46C7" w:rsidP="00AD46C7">
      <w:pPr>
        <w:jc w:val="both"/>
      </w:pPr>
      <w:r>
        <w:t xml:space="preserve">Buna </w:t>
      </w:r>
      <w:r w:rsidRPr="00F2774F">
        <w:t xml:space="preserve">göre </w:t>
      </w:r>
      <w:r>
        <w:t xml:space="preserve">ilgili adayın sınav sonucu </w:t>
      </w:r>
      <w:r w:rsidRPr="00F2774F">
        <w:t>aşağıda belirtilmiştir. İlgililere ilanen duyurulur.</w:t>
      </w:r>
      <w:r>
        <w:t>06.12.2019</w:t>
      </w:r>
    </w:p>
    <w:p w:rsidR="00AD46C7" w:rsidRDefault="00AD46C7" w:rsidP="00AD46C7">
      <w:pPr>
        <w:jc w:val="both"/>
      </w:pPr>
    </w:p>
    <w:p w:rsidR="003E5FC0" w:rsidRPr="005748BC" w:rsidRDefault="003E5FC0" w:rsidP="00AD46C7">
      <w:pPr>
        <w:jc w:val="both"/>
        <w:rPr>
          <w:b/>
        </w:rPr>
      </w:pPr>
    </w:p>
    <w:tbl>
      <w:tblPr>
        <w:tblStyle w:val="TabloKlavuzu"/>
        <w:tblW w:w="10822" w:type="dxa"/>
        <w:jc w:val="center"/>
        <w:tblLook w:val="04A0" w:firstRow="1" w:lastRow="0" w:firstColumn="1" w:lastColumn="0" w:noHBand="0" w:noVBand="1"/>
      </w:tblPr>
      <w:tblGrid>
        <w:gridCol w:w="538"/>
        <w:gridCol w:w="1643"/>
        <w:gridCol w:w="1075"/>
        <w:gridCol w:w="1067"/>
        <w:gridCol w:w="1344"/>
        <w:gridCol w:w="1674"/>
        <w:gridCol w:w="1039"/>
        <w:gridCol w:w="1494"/>
        <w:gridCol w:w="948"/>
      </w:tblGrid>
      <w:tr w:rsidR="00D36EFD" w:rsidRPr="00B10E90" w:rsidTr="004759D1">
        <w:trPr>
          <w:trHeight w:val="1378"/>
          <w:jc w:val="center"/>
        </w:trPr>
        <w:tc>
          <w:tcPr>
            <w:tcW w:w="538" w:type="dxa"/>
            <w:vAlign w:val="center"/>
          </w:tcPr>
          <w:p w:rsidR="00D36EFD" w:rsidRPr="00B10E90" w:rsidRDefault="00D36EFD" w:rsidP="00D36EFD">
            <w:pPr>
              <w:jc w:val="center"/>
              <w:rPr>
                <w:b/>
                <w:bCs/>
                <w:sz w:val="18"/>
                <w:szCs w:val="18"/>
              </w:rPr>
            </w:pPr>
            <w:r w:rsidRPr="00B10E90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43" w:type="dxa"/>
            <w:vAlign w:val="center"/>
          </w:tcPr>
          <w:p w:rsidR="00D36EFD" w:rsidRPr="00B10E90" w:rsidRDefault="00D36EFD" w:rsidP="00D36EFD">
            <w:pPr>
              <w:jc w:val="center"/>
              <w:rPr>
                <w:b/>
                <w:bCs/>
                <w:sz w:val="18"/>
                <w:szCs w:val="18"/>
              </w:rPr>
            </w:pPr>
            <w:r w:rsidRPr="00B10E90">
              <w:rPr>
                <w:b/>
                <w:bCs/>
                <w:sz w:val="18"/>
                <w:szCs w:val="18"/>
              </w:rPr>
              <w:t>BAŞVURAN ADAYIN ADI VE SOYADI</w:t>
            </w:r>
          </w:p>
        </w:tc>
        <w:tc>
          <w:tcPr>
            <w:tcW w:w="1075" w:type="dxa"/>
            <w:vAlign w:val="center"/>
          </w:tcPr>
          <w:p w:rsidR="00D36EFD" w:rsidRPr="00B10E90" w:rsidRDefault="00D36EFD" w:rsidP="00D36EFD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 w:rsidRPr="00B10E90">
              <w:rPr>
                <w:b/>
                <w:bCs/>
                <w:sz w:val="18"/>
                <w:szCs w:val="18"/>
              </w:rPr>
              <w:t>ALES PUANI</w:t>
            </w:r>
          </w:p>
        </w:tc>
        <w:tc>
          <w:tcPr>
            <w:tcW w:w="1067" w:type="dxa"/>
            <w:vAlign w:val="center"/>
          </w:tcPr>
          <w:p w:rsidR="00D36EFD" w:rsidRPr="00B10E90" w:rsidRDefault="00D36EFD" w:rsidP="00D36EFD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ALES PUANININ %35</w:t>
            </w:r>
            <w:r w:rsidRPr="00B10E90">
              <w:rPr>
                <w:b/>
                <w:bCs/>
                <w:sz w:val="18"/>
                <w:szCs w:val="18"/>
              </w:rPr>
              <w:t>'İ</w:t>
            </w:r>
          </w:p>
        </w:tc>
        <w:tc>
          <w:tcPr>
            <w:tcW w:w="1344" w:type="dxa"/>
            <w:vAlign w:val="center"/>
          </w:tcPr>
          <w:p w:rsidR="00D36EFD" w:rsidRPr="00B10E90" w:rsidRDefault="00D36EFD" w:rsidP="00D36EFD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 w:rsidRPr="00B10E90">
              <w:rPr>
                <w:b/>
                <w:bCs/>
                <w:sz w:val="18"/>
                <w:szCs w:val="18"/>
              </w:rPr>
              <w:t>LİSANS ORTALAMASI</w:t>
            </w:r>
          </w:p>
        </w:tc>
        <w:tc>
          <w:tcPr>
            <w:tcW w:w="1674" w:type="dxa"/>
            <w:vAlign w:val="center"/>
          </w:tcPr>
          <w:p w:rsidR="00D36EFD" w:rsidRDefault="00D36EFD" w:rsidP="00D36EFD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 w:rsidRPr="00B10E90">
              <w:rPr>
                <w:b/>
                <w:bCs/>
                <w:sz w:val="18"/>
                <w:szCs w:val="18"/>
              </w:rPr>
              <w:t xml:space="preserve">LİSANS ORTALAMASININ </w:t>
            </w:r>
          </w:p>
          <w:p w:rsidR="00D36EFD" w:rsidRPr="00B10E90" w:rsidRDefault="00D36EFD" w:rsidP="00D36EFD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 w:rsidRPr="00B10E90">
              <w:rPr>
                <w:b/>
                <w:bCs/>
                <w:sz w:val="18"/>
                <w:szCs w:val="18"/>
              </w:rPr>
              <w:t>% 30'U</w:t>
            </w:r>
          </w:p>
        </w:tc>
        <w:tc>
          <w:tcPr>
            <w:tcW w:w="1039" w:type="dxa"/>
            <w:vAlign w:val="center"/>
          </w:tcPr>
          <w:p w:rsidR="00D36EFD" w:rsidRPr="00B10E90" w:rsidRDefault="00D36EFD" w:rsidP="00D36EFD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SINAV</w:t>
            </w:r>
            <w:r w:rsidRPr="00B10E90">
              <w:rPr>
                <w:b/>
                <w:bCs/>
                <w:sz w:val="18"/>
                <w:szCs w:val="18"/>
              </w:rPr>
              <w:t xml:space="preserve"> NOTU</w:t>
            </w:r>
          </w:p>
        </w:tc>
        <w:tc>
          <w:tcPr>
            <w:tcW w:w="1494" w:type="dxa"/>
            <w:vAlign w:val="center"/>
          </w:tcPr>
          <w:p w:rsidR="00D36EFD" w:rsidRDefault="00D36EFD" w:rsidP="00D36EFD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</w:p>
          <w:p w:rsidR="00D36EFD" w:rsidRDefault="00D36EFD" w:rsidP="00D36EFD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 w:rsidRPr="002053A2">
              <w:rPr>
                <w:b/>
                <w:bCs/>
                <w:sz w:val="18"/>
                <w:szCs w:val="18"/>
              </w:rPr>
              <w:t>SINAV NOTU</w:t>
            </w:r>
            <w:r>
              <w:rPr>
                <w:b/>
                <w:bCs/>
                <w:sz w:val="18"/>
                <w:szCs w:val="18"/>
              </w:rPr>
              <w:t>NUN</w:t>
            </w:r>
            <w:r w:rsidRPr="002053A2">
              <w:rPr>
                <w:b/>
                <w:bCs/>
                <w:sz w:val="18"/>
                <w:szCs w:val="18"/>
              </w:rPr>
              <w:t>%35'İ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:rsidR="00D36EFD" w:rsidRPr="00B10E90" w:rsidRDefault="00D36EFD" w:rsidP="00D36EFD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SINAV</w:t>
            </w:r>
            <w:r w:rsidRPr="00B10E90">
              <w:rPr>
                <w:b/>
                <w:bCs/>
                <w:sz w:val="18"/>
                <w:szCs w:val="18"/>
              </w:rPr>
              <w:t xml:space="preserve"> SONUCU</w:t>
            </w:r>
          </w:p>
        </w:tc>
      </w:tr>
      <w:tr w:rsidR="00D36EFD" w:rsidRPr="00B10E90" w:rsidTr="004759D1">
        <w:trPr>
          <w:trHeight w:val="993"/>
          <w:jc w:val="center"/>
        </w:trPr>
        <w:tc>
          <w:tcPr>
            <w:tcW w:w="538" w:type="dxa"/>
            <w:vAlign w:val="center"/>
          </w:tcPr>
          <w:p w:rsidR="00D36EFD" w:rsidRPr="00B10E90" w:rsidRDefault="00D36EFD" w:rsidP="00D36EFD">
            <w:r w:rsidRPr="00B10E90">
              <w:t>1</w:t>
            </w:r>
          </w:p>
        </w:tc>
        <w:tc>
          <w:tcPr>
            <w:tcW w:w="1643" w:type="dxa"/>
            <w:vAlign w:val="center"/>
          </w:tcPr>
          <w:p w:rsidR="00D36EFD" w:rsidRPr="003E0AE8" w:rsidRDefault="00D36EFD" w:rsidP="00D36EFD">
            <w:pPr>
              <w:jc w:val="center"/>
              <w:rPr>
                <w:b/>
                <w:color w:val="000000"/>
              </w:rPr>
            </w:pPr>
            <w:r w:rsidRPr="003E0AE8">
              <w:rPr>
                <w:b/>
                <w:color w:val="000000"/>
              </w:rPr>
              <w:t>Barış KOCABIYIK</w:t>
            </w:r>
          </w:p>
        </w:tc>
        <w:tc>
          <w:tcPr>
            <w:tcW w:w="1075" w:type="dxa"/>
            <w:vAlign w:val="center"/>
          </w:tcPr>
          <w:p w:rsidR="00D36EFD" w:rsidRPr="004759D1" w:rsidRDefault="00D36EFD" w:rsidP="00D36EFD">
            <w:pPr>
              <w:ind w:left="-113"/>
              <w:jc w:val="center"/>
              <w:rPr>
                <w:b/>
                <w:color w:val="000000"/>
              </w:rPr>
            </w:pPr>
            <w:r w:rsidRPr="004759D1">
              <w:rPr>
                <w:b/>
                <w:color w:val="000000"/>
              </w:rPr>
              <w:t>70,58482</w:t>
            </w:r>
          </w:p>
        </w:tc>
        <w:tc>
          <w:tcPr>
            <w:tcW w:w="1067" w:type="dxa"/>
            <w:vAlign w:val="center"/>
          </w:tcPr>
          <w:p w:rsidR="00D36EFD" w:rsidRPr="004759D1" w:rsidRDefault="00D36EFD" w:rsidP="00D36EFD">
            <w:pPr>
              <w:ind w:left="-113"/>
              <w:jc w:val="center"/>
              <w:rPr>
                <w:b/>
                <w:color w:val="000000"/>
              </w:rPr>
            </w:pPr>
            <w:r w:rsidRPr="004759D1">
              <w:rPr>
                <w:b/>
                <w:color w:val="000000"/>
              </w:rPr>
              <w:t>24,71</w:t>
            </w:r>
          </w:p>
        </w:tc>
        <w:tc>
          <w:tcPr>
            <w:tcW w:w="1344" w:type="dxa"/>
            <w:vAlign w:val="center"/>
          </w:tcPr>
          <w:p w:rsidR="00D36EFD" w:rsidRPr="004759D1" w:rsidRDefault="00D36EFD" w:rsidP="00D36EFD">
            <w:pPr>
              <w:ind w:left="-113"/>
              <w:jc w:val="center"/>
              <w:rPr>
                <w:b/>
                <w:color w:val="000000"/>
              </w:rPr>
            </w:pPr>
            <w:r w:rsidRPr="004759D1">
              <w:rPr>
                <w:b/>
                <w:color w:val="000000"/>
              </w:rPr>
              <w:t>65,28</w:t>
            </w:r>
          </w:p>
        </w:tc>
        <w:tc>
          <w:tcPr>
            <w:tcW w:w="1674" w:type="dxa"/>
            <w:vAlign w:val="center"/>
          </w:tcPr>
          <w:p w:rsidR="00D36EFD" w:rsidRPr="00D36EFD" w:rsidRDefault="00D36EFD" w:rsidP="00D36EFD">
            <w:pPr>
              <w:ind w:left="-113"/>
              <w:jc w:val="center"/>
              <w:rPr>
                <w:b/>
                <w:color w:val="000000"/>
              </w:rPr>
            </w:pPr>
            <w:r w:rsidRPr="00D36EFD">
              <w:rPr>
                <w:b/>
                <w:color w:val="000000"/>
              </w:rPr>
              <w:t>19,58</w:t>
            </w:r>
          </w:p>
        </w:tc>
        <w:tc>
          <w:tcPr>
            <w:tcW w:w="1039" w:type="dxa"/>
            <w:vAlign w:val="center"/>
          </w:tcPr>
          <w:p w:rsidR="00D36EFD" w:rsidRPr="00D36EFD" w:rsidRDefault="00D36EFD" w:rsidP="00D36EFD">
            <w:pPr>
              <w:ind w:left="-113"/>
              <w:jc w:val="center"/>
              <w:rPr>
                <w:b/>
                <w:color w:val="000000"/>
              </w:rPr>
            </w:pPr>
            <w:r w:rsidRPr="00D36EFD">
              <w:rPr>
                <w:b/>
                <w:color w:val="000000"/>
              </w:rPr>
              <w:t>68</w:t>
            </w:r>
          </w:p>
        </w:tc>
        <w:tc>
          <w:tcPr>
            <w:tcW w:w="1494" w:type="dxa"/>
            <w:vAlign w:val="center"/>
          </w:tcPr>
          <w:p w:rsidR="00D36EFD" w:rsidRPr="00B10E90" w:rsidRDefault="00D36EFD" w:rsidP="00D36E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23,8</w:t>
            </w:r>
          </w:p>
        </w:tc>
        <w:tc>
          <w:tcPr>
            <w:tcW w:w="948" w:type="dxa"/>
            <w:vAlign w:val="center"/>
          </w:tcPr>
          <w:p w:rsidR="00D36EFD" w:rsidRPr="00B10E90" w:rsidRDefault="00D36EFD" w:rsidP="00D36EFD">
            <w:pPr>
              <w:ind w:lef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9</w:t>
            </w:r>
          </w:p>
        </w:tc>
      </w:tr>
    </w:tbl>
    <w:p w:rsidR="00AD46C7" w:rsidRPr="00B10E90" w:rsidRDefault="00AD46C7" w:rsidP="00AD46C7">
      <w:pPr>
        <w:jc w:val="both"/>
      </w:pPr>
    </w:p>
    <w:p w:rsidR="00AD46C7" w:rsidRDefault="00AD46C7" w:rsidP="00AD46C7">
      <w:pPr>
        <w:jc w:val="both"/>
        <w:rPr>
          <w:b/>
          <w:color w:val="FF0000"/>
          <w:sz w:val="28"/>
          <w:szCs w:val="28"/>
        </w:rPr>
      </w:pPr>
      <w:r w:rsidRPr="004B352F">
        <w:rPr>
          <w:b/>
          <w:color w:val="FF0000"/>
          <w:sz w:val="28"/>
          <w:szCs w:val="28"/>
        </w:rPr>
        <w:t>Bu duyuru İlgili Yönetmelik uyarınca resmi tebligat niteliğinde olup ayrıca sınav sonucu ile ilgili yazısı gönderilmeyecektir.</w:t>
      </w:r>
    </w:p>
    <w:p w:rsidR="00AD46C7" w:rsidRDefault="00AD46C7" w:rsidP="00AD46C7">
      <w:pPr>
        <w:jc w:val="both"/>
        <w:rPr>
          <w:b/>
          <w:color w:val="FF0000"/>
          <w:sz w:val="28"/>
          <w:szCs w:val="28"/>
        </w:rPr>
      </w:pPr>
    </w:p>
    <w:p w:rsidR="00AD46C7" w:rsidRDefault="00AD46C7" w:rsidP="00AD46C7">
      <w:pPr>
        <w:jc w:val="both"/>
        <w:rPr>
          <w:b/>
          <w:color w:val="FF0000"/>
          <w:sz w:val="28"/>
          <w:szCs w:val="28"/>
        </w:rPr>
      </w:pPr>
    </w:p>
    <w:p w:rsidR="00AD46C7" w:rsidRDefault="00AD46C7" w:rsidP="00AD46C7">
      <w:pPr>
        <w:jc w:val="both"/>
        <w:rPr>
          <w:b/>
          <w:color w:val="FF0000"/>
          <w:sz w:val="28"/>
          <w:szCs w:val="28"/>
        </w:rPr>
      </w:pPr>
    </w:p>
    <w:p w:rsidR="00AD46C7" w:rsidRDefault="00AD46C7" w:rsidP="00AD46C7">
      <w:pPr>
        <w:jc w:val="both"/>
        <w:rPr>
          <w:b/>
          <w:color w:val="FF0000"/>
          <w:sz w:val="28"/>
          <w:szCs w:val="28"/>
        </w:rPr>
      </w:pPr>
    </w:p>
    <w:p w:rsidR="00AD46C7" w:rsidRDefault="00AD46C7" w:rsidP="00AD46C7">
      <w:pPr>
        <w:jc w:val="center"/>
      </w:pPr>
      <w:r w:rsidRPr="00FE3CB4">
        <w:rPr>
          <w:b/>
          <w:u w:val="single"/>
        </w:rPr>
        <w:t xml:space="preserve">GİRİŞ SINAV JÜRİSİ </w:t>
      </w:r>
    </w:p>
    <w:p w:rsidR="00AD46C7" w:rsidRDefault="00AD46C7" w:rsidP="00AD46C7">
      <w:pPr>
        <w:jc w:val="both"/>
      </w:pPr>
    </w:p>
    <w:p w:rsidR="00AD46C7" w:rsidRPr="004B352F" w:rsidRDefault="00AD46C7" w:rsidP="00AD46C7">
      <w:pPr>
        <w:jc w:val="both"/>
        <w:rPr>
          <w:b/>
          <w:color w:val="FF0000"/>
          <w:sz w:val="28"/>
          <w:szCs w:val="28"/>
        </w:rPr>
      </w:pPr>
    </w:p>
    <w:p w:rsidR="00887C13" w:rsidRPr="00AD46C7" w:rsidRDefault="00887C13" w:rsidP="00AD46C7"/>
    <w:sectPr w:rsidR="00887C13" w:rsidRPr="00AD46C7" w:rsidSect="00AD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C7"/>
    <w:rsid w:val="00256196"/>
    <w:rsid w:val="003E5FC0"/>
    <w:rsid w:val="004759D1"/>
    <w:rsid w:val="00887C13"/>
    <w:rsid w:val="00AD46C7"/>
    <w:rsid w:val="00D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4BCA"/>
  <w15:chartTrackingRefBased/>
  <w15:docId w15:val="{60247327-05AD-4268-BBBB-0735189A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MüdYrd</dc:creator>
  <cp:keywords/>
  <dc:description/>
  <cp:lastModifiedBy>MüdYrd</cp:lastModifiedBy>
  <cp:revision>5</cp:revision>
  <dcterms:created xsi:type="dcterms:W3CDTF">2019-12-05T11:12:00Z</dcterms:created>
  <dcterms:modified xsi:type="dcterms:W3CDTF">2019-12-06T07:51:00Z</dcterms:modified>
</cp:coreProperties>
</file>