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6769" w14:textId="77777777" w:rsidR="008E3596" w:rsidRDefault="008E3596" w:rsidP="008E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T.C.</w:t>
      </w:r>
    </w:p>
    <w:p w14:paraId="77250E78" w14:textId="77777777" w:rsidR="008E3596" w:rsidRDefault="008E3596" w:rsidP="008E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TEKİRDAĞ NAMIK KEMAL ÜNİVERSİTESİ</w:t>
      </w:r>
    </w:p>
    <w:p w14:paraId="63A8FDF0" w14:textId="77777777" w:rsidR="008E3596" w:rsidRDefault="008E3596" w:rsidP="008E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İLAHİYAT FAKÜLTESİ DEKANLIĞI</w:t>
      </w:r>
    </w:p>
    <w:p w14:paraId="192DC623" w14:textId="0F9A50A9" w:rsidR="008E3596" w:rsidRDefault="009F11BC" w:rsidP="008E3596">
      <w:pPr>
        <w:jc w:val="center"/>
        <w:rPr>
          <w:rFonts w:ascii="TimesNewRomanPS-BoldMT" w:hAnsi="TimesNewRomanPS-BoldMT" w:cs="TimesNewRomanPS-BoldMT"/>
          <w:b/>
          <w:bCs/>
        </w:rPr>
      </w:pPr>
      <w:r w:rsidRPr="009F11BC">
        <w:rPr>
          <w:rFonts w:ascii="TimesNewRomanPS-BoldMT" w:hAnsi="TimesNewRomanPS-BoldMT" w:cs="TimesNewRomanPS-BoldMT"/>
          <w:b/>
          <w:bCs/>
        </w:rPr>
        <w:t xml:space="preserve">ÖSYM </w:t>
      </w:r>
      <w:r w:rsidR="008E3596" w:rsidRPr="008E3596">
        <w:rPr>
          <w:rFonts w:ascii="TimesNewRomanPS-BoldMT" w:hAnsi="TimesNewRomanPS-BoldMT" w:cs="TimesNewRomanPS-BoldMT"/>
          <w:b/>
          <w:bCs/>
        </w:rPr>
        <w:t>MERKEZİ YERLEŞTİRME</w:t>
      </w:r>
      <w:r w:rsidR="008E3596">
        <w:rPr>
          <w:rFonts w:ascii="TimesNewRomanPS-BoldMT" w:hAnsi="TimesNewRomanPS-BoldMT" w:cs="TimesNewRomanPS-BoldMT"/>
          <w:b/>
          <w:bCs/>
        </w:rPr>
        <w:t xml:space="preserve"> YATAY GEÇİŞ BAŞVURU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7"/>
        <w:gridCol w:w="1753"/>
        <w:gridCol w:w="1825"/>
        <w:gridCol w:w="4747"/>
      </w:tblGrid>
      <w:tr w:rsidR="008E3596" w:rsidRPr="007223D9" w14:paraId="3AEC76D2" w14:textId="77777777" w:rsidTr="00BF1C51">
        <w:tc>
          <w:tcPr>
            <w:tcW w:w="9212" w:type="dxa"/>
            <w:gridSpan w:val="4"/>
          </w:tcPr>
          <w:p w14:paraId="7F3944B1" w14:textId="77777777" w:rsidR="008E3596" w:rsidRPr="007223D9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3D9">
              <w:rPr>
                <w:rFonts w:asciiTheme="majorBidi" w:hAnsiTheme="majorBidi" w:cstheme="majorBidi"/>
                <w:b/>
                <w:bCs/>
              </w:rPr>
              <w:t xml:space="preserve">2022-2023 </w:t>
            </w:r>
            <w:r>
              <w:rPr>
                <w:rFonts w:asciiTheme="majorBidi" w:hAnsiTheme="majorBidi" w:cstheme="majorBidi"/>
                <w:b/>
                <w:bCs/>
              </w:rPr>
              <w:t>BAHAR</w:t>
            </w:r>
            <w:r w:rsidRPr="007223D9">
              <w:rPr>
                <w:rFonts w:asciiTheme="majorBidi" w:hAnsiTheme="majorBidi" w:cstheme="majorBidi"/>
                <w:b/>
                <w:bCs/>
              </w:rPr>
              <w:t xml:space="preserve"> DÖNEMİ BAŞINDA YATAY GEÇİŞ BAŞVURULARI </w:t>
            </w:r>
          </w:p>
          <w:p w14:paraId="530D290B" w14:textId="77777777" w:rsidR="008E3596" w:rsidRPr="007223D9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3D9">
              <w:rPr>
                <w:rFonts w:asciiTheme="majorBidi" w:hAnsiTheme="majorBidi" w:cstheme="majorBidi"/>
                <w:b/>
                <w:bCs/>
              </w:rPr>
              <w:t>KABUL EDİLENLERİN LİSTESİ</w:t>
            </w:r>
          </w:p>
        </w:tc>
      </w:tr>
      <w:tr w:rsidR="008E3596" w:rsidRPr="009315AB" w14:paraId="439530AB" w14:textId="77777777" w:rsidTr="00BF1C51">
        <w:tc>
          <w:tcPr>
            <w:tcW w:w="742" w:type="dxa"/>
          </w:tcPr>
          <w:p w14:paraId="1C971861" w14:textId="77777777" w:rsidR="008E3596" w:rsidRPr="009315AB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1776" w:type="dxa"/>
          </w:tcPr>
          <w:p w14:paraId="6B8EFCA7" w14:textId="77777777" w:rsidR="008E3596" w:rsidRPr="009315AB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</w:tcPr>
          <w:p w14:paraId="677F9471" w14:textId="77777777" w:rsidR="008E3596" w:rsidRPr="009315AB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Öğrencinin </w:t>
            </w:r>
            <w:proofErr w:type="spellStart"/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Osym</w:t>
            </w:r>
            <w:proofErr w:type="spellEnd"/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Yerleştirme Sözel Puanı</w:t>
            </w:r>
          </w:p>
        </w:tc>
        <w:tc>
          <w:tcPr>
            <w:tcW w:w="4851" w:type="dxa"/>
          </w:tcPr>
          <w:p w14:paraId="246EA3F8" w14:textId="77777777" w:rsidR="008E3596" w:rsidRPr="009315AB" w:rsidRDefault="008E3596" w:rsidP="00BF1C51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Sonuç</w:t>
            </w:r>
          </w:p>
        </w:tc>
      </w:tr>
      <w:tr w:rsidR="008E3596" w:rsidRPr="009315AB" w14:paraId="04833A17" w14:textId="77777777" w:rsidTr="00BF1C51">
        <w:tc>
          <w:tcPr>
            <w:tcW w:w="742" w:type="dxa"/>
          </w:tcPr>
          <w:p w14:paraId="4D78E637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14:paraId="32249A82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Talha Mücahit GÜNER</w:t>
            </w:r>
          </w:p>
        </w:tc>
        <w:tc>
          <w:tcPr>
            <w:tcW w:w="1843" w:type="dxa"/>
          </w:tcPr>
          <w:p w14:paraId="41482E7D" w14:textId="77777777" w:rsidR="008E3596" w:rsidRPr="009315AB" w:rsidRDefault="008E3596" w:rsidP="00BF1C5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335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44460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(2020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14:paraId="092C5345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sz w:val="20"/>
                <w:szCs w:val="20"/>
              </w:rPr>
              <w:t xml:space="preserve"> Öğrencinin 1. Öğretime</w:t>
            </w: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başvurusu KABUL edilmiştir. (Fakültemizin 2020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Öğretim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taban puanı </w:t>
            </w:r>
            <w:r w:rsidRPr="006F6238">
              <w:rPr>
                <w:rFonts w:asciiTheme="majorBidi" w:eastAsia="Times New Roman" w:hAnsiTheme="majorBidi" w:cstheme="majorBidi"/>
                <w:sz w:val="20"/>
                <w:szCs w:val="20"/>
              </w:rPr>
              <w:t>308,56833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F62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>Çanakkale 18 Mart Üniversite İlahiyat Fakültesinde Hazırlık sınıfını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 xml:space="preserve"> başarıyla geçtiğinden 1. Öğretim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>. Sınıfa intibakı uygundur.</w:t>
            </w:r>
          </w:p>
        </w:tc>
      </w:tr>
      <w:tr w:rsidR="008E3596" w:rsidRPr="009315AB" w14:paraId="1836B206" w14:textId="77777777" w:rsidTr="00BF1C51">
        <w:tc>
          <w:tcPr>
            <w:tcW w:w="742" w:type="dxa"/>
          </w:tcPr>
          <w:p w14:paraId="3958246D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14:paraId="057A398D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Buğra YALÇIN</w:t>
            </w:r>
          </w:p>
        </w:tc>
        <w:tc>
          <w:tcPr>
            <w:tcW w:w="1843" w:type="dxa"/>
          </w:tcPr>
          <w:p w14:paraId="3CFE826E" w14:textId="77777777" w:rsidR="008E3596" w:rsidRPr="009315AB" w:rsidRDefault="008E3596" w:rsidP="00BF1C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301,1091 (2022</w:t>
            </w: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14:paraId="0ADE963F" w14:textId="77777777" w:rsidR="008E3596" w:rsidRPr="009315AB" w:rsidRDefault="008E3596" w:rsidP="00BF1C51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15AB">
              <w:rPr>
                <w:rFonts w:asciiTheme="majorBidi" w:hAnsiTheme="majorBidi" w:cstheme="majorBidi"/>
                <w:sz w:val="20"/>
                <w:szCs w:val="20"/>
              </w:rPr>
              <w:t>Öğrencinin 1. Öğretime</w:t>
            </w:r>
            <w:r w:rsidRPr="009315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başvurusu KABUL edilmiştir. (Fakültemizin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Öğretim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taban puanı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258</w:t>
            </w:r>
            <w:r w:rsidRPr="006F6238"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F62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Dokuz Eylül 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>Üniversite İlahiyat Fakültesinde Hazırlık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sınıfı</w:t>
            </w:r>
            <w:r w:rsidRPr="006F623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öğrencisidir. Bundan dolayı şu an Hazırlık sınıfını okuyacak olup güz dönemi için iki ara sınav yapılacak. İlk iki ara sınavın tarihler Hazırlık komisyonu tarafından tespit edilecektir. Hazırlık sınıfından başarılı olması durumunda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 xml:space="preserve"> 1. Öğretim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9315AB">
              <w:rPr>
                <w:rFonts w:asciiTheme="majorBidi" w:hAnsiTheme="majorBidi" w:cstheme="majorBidi"/>
                <w:sz w:val="20"/>
                <w:szCs w:val="20"/>
              </w:rPr>
              <w:t>. Sınıfa intibakı uygundur.</w:t>
            </w:r>
          </w:p>
        </w:tc>
      </w:tr>
    </w:tbl>
    <w:p w14:paraId="2258C5FF" w14:textId="77777777" w:rsidR="008E3596" w:rsidRDefault="008E3596" w:rsidP="008E3596">
      <w:pPr>
        <w:jc w:val="center"/>
      </w:pPr>
    </w:p>
    <w:sectPr w:rsidR="008E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96"/>
    <w:rsid w:val="008E3596"/>
    <w:rsid w:val="009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6D89"/>
  <w15:chartTrackingRefBased/>
  <w15:docId w15:val="{F9E4EA62-2940-4D0D-A955-AA10AB4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35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2023-01-27T14:06:00Z</dcterms:created>
  <dcterms:modified xsi:type="dcterms:W3CDTF">2023-01-27T14:08:00Z</dcterms:modified>
</cp:coreProperties>
</file>