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bookmarkStart w:id="0" w:name="_GoBack"/>
      <w:r w:rsidRPr="007E1E0C">
        <w:rPr>
          <w:b/>
          <w:bCs/>
          <w:color w:val="000000" w:themeColor="text1"/>
          <w:sz w:val="20"/>
          <w:szCs w:val="20"/>
        </w:rPr>
        <w:t>Kanun No. 7143</w:t>
      </w:r>
      <w:r w:rsidRPr="007E1E0C">
        <w:rPr>
          <w:color w:val="000000" w:themeColor="text1"/>
          <w:sz w:val="20"/>
          <w:szCs w:val="20"/>
        </w:rPr>
        <w:t>                                                                                                        </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b/>
          <w:bCs/>
          <w:color w:val="000000" w:themeColor="text1"/>
          <w:sz w:val="20"/>
          <w:szCs w:val="20"/>
        </w:rPr>
        <w:t>MADDE 15-</w:t>
      </w:r>
      <w:r w:rsidRPr="007E1E0C">
        <w:rPr>
          <w:color w:val="000000" w:themeColor="text1"/>
          <w:sz w:val="20"/>
          <w:szCs w:val="20"/>
        </w:rPr>
        <w:t> 2547 sayılı Kanuna aşağıdaki geçici madde eklenmiştir.</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“GEÇİCİ MADDE 78- Yükseköğretim  kurumlarında hazırlık dâhil bütün sınıflarda intibak, önlisans,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iltisakı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Bu maddeden yararlanıp bir yükseköğretim kurumunda öğrenci statüsü kazananlar başvurmaları halinde Anadolu Üniversitesi, Atatürk Üniversitesi ve İstanbul Üniversitesi bünyesindeki açık öğretim önlisans veya lisans düzeyindeki eşdeğer bölümlere yatay geçiş yapabilirler. Bu maddenin uygulanmasına ilişkin usul ve esasları belirlemeye Yükseköğretim Kurulu yetkilidir.</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Öğretim Üyesi Yetiştirme Programı kapsamında 33 üncü maddenin (a) fıkrası uyarınca araştırma görevlisi kadrosuna atanmış olup statüleri 50 nci maddenin birinci fıkrasının (d) bendinde belirtilen statüye dönüştürülmüş sayılan ve ek 30 uncu madde uyarınca 33 üncü maddenin (a) fıkrasına göre yeniden ataması yapılmayanlardan bu maddenin yürürlüğe girdiği tarihte;</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a) Başarısızlık ile Öğretim Üyesi Yetiştirme Programı kapsamında süresi içinde lisansüstü eğitimlerini tamamlayamama veya terör örgütlerine veya Milli Güvenlik Kurulunca Devletin milli güvenliğine karşı faaliyette bulunduğuna karar verilen yapı, oluşum veya gruplara üyeliği, mensubiyeti veya iltisakı yahut bunlarla irtibatı olmaları nedeniyle araştırma görevlisi kadrosuyla ilişiği kesilenler hariç olmak üzere, Devlet yükseköğretim kurumlarının öğretim elemanı kadrolarında bulunmayan ancak doktora veya sanatta yeterlik eğitimini tamamlayanlar bu maddenin yürürlüğe girdiği tarihten itibaren bir ay içerisinde,</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b) Öğretim Üyesi Yetiştirme Programı kapsamında lisansüstü eğitimine devam eden araştırma görevlilerinin maddenin yürürlüğe girdiği tarihten itibaren bir ay içerisinde,</w:t>
      </w:r>
    </w:p>
    <w:p w:rsidR="007E1E0C" w:rsidRPr="007E1E0C" w:rsidRDefault="007E1E0C" w:rsidP="007E1E0C">
      <w:pPr>
        <w:pStyle w:val="NormalWeb"/>
        <w:shd w:val="clear" w:color="auto" w:fill="FFFFFF"/>
        <w:spacing w:before="0" w:beforeAutospacing="0" w:after="150" w:afterAutospacing="0"/>
        <w:rPr>
          <w:color w:val="000000" w:themeColor="text1"/>
          <w:sz w:val="20"/>
          <w:szCs w:val="20"/>
        </w:rPr>
      </w:pPr>
      <w:r w:rsidRPr="007E1E0C">
        <w:rPr>
          <w:color w:val="000000" w:themeColor="text1"/>
          <w:sz w:val="20"/>
          <w:szCs w:val="20"/>
        </w:rPr>
        <w:t>kadrosunun bulunduğu yükseköğretim kurumuna müracaat etmeleri hâlinde 657 sayılı Devlet Memurları Kanununun 48 inci maddesinde belirtilen genel şartları taşımaları kaydıyla ilgili üniversite tarafından 33 üncü maddenin (a) fıkrası kapsamında yeniden atamaları yapılır. Öğretim Üyesi Yetiştirme Programı kapsamında eğitimlerini tamamlayan araştırma görevlileri ihtiyaç halinde başka üniversitelerde de görevlendirilir. Görevlendirmeden itibaren üç ay içerisinde görevine başlamayanlar müstafi sayılır.”</w:t>
      </w:r>
    </w:p>
    <w:bookmarkEnd w:id="0"/>
    <w:p w:rsidR="004D340B" w:rsidRPr="007E1E0C" w:rsidRDefault="00A87B7C">
      <w:pPr>
        <w:rPr>
          <w:rFonts w:ascii="Times New Roman" w:hAnsi="Times New Roman" w:cs="Times New Roman"/>
          <w:color w:val="000000" w:themeColor="text1"/>
        </w:rPr>
      </w:pPr>
    </w:p>
    <w:sectPr w:rsidR="004D340B" w:rsidRPr="007E1E0C" w:rsidSect="008745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1E0C"/>
    <w:rsid w:val="007E1E0C"/>
    <w:rsid w:val="00874594"/>
    <w:rsid w:val="009A345F"/>
    <w:rsid w:val="00A87B7C"/>
    <w:rsid w:val="00BC14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1E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1E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68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dc:creator>
  <cp:lastModifiedBy>Lenovo-PC-004</cp:lastModifiedBy>
  <cp:revision>2</cp:revision>
  <dcterms:created xsi:type="dcterms:W3CDTF">2018-05-29T11:01:00Z</dcterms:created>
  <dcterms:modified xsi:type="dcterms:W3CDTF">2018-05-29T11:01:00Z</dcterms:modified>
</cp:coreProperties>
</file>